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CDE" w:rsidRPr="00861CDE" w:rsidRDefault="00861CDE" w:rsidP="00861CDE">
      <w:pPr>
        <w:tabs>
          <w:tab w:val="left" w:pos="1985"/>
          <w:tab w:val="left" w:pos="7920"/>
        </w:tabs>
        <w:spacing w:after="0" w:line="240" w:lineRule="auto"/>
        <w:jc w:val="both"/>
        <w:rPr>
          <w:rFonts w:ascii="Arial" w:eastAsia="Malgun Gothic" w:hAnsi="Arial" w:cs="Arial"/>
          <w:b/>
          <w:sz w:val="24"/>
        </w:rPr>
      </w:pPr>
      <w:bookmarkStart w:id="0" w:name="_Hlk6897498"/>
      <w:bookmarkStart w:id="1" w:name="_Hlk3548187"/>
      <w:r w:rsidRPr="00861CDE">
        <w:rPr>
          <w:rFonts w:ascii="Arial" w:eastAsia="Malgun Gothic" w:hAnsi="Arial" w:cs="Arial"/>
          <w:b/>
          <w:sz w:val="24"/>
        </w:rPr>
        <w:t>3GPP TSG-RAN WG5 #8</w:t>
      </w:r>
      <w:r w:rsidR="008C1B71">
        <w:rPr>
          <w:rFonts w:ascii="Arial" w:eastAsia="Malgun Gothic" w:hAnsi="Arial" w:cs="Arial"/>
          <w:b/>
          <w:sz w:val="24"/>
        </w:rPr>
        <w:t>9</w:t>
      </w:r>
      <w:r w:rsidRPr="00861CDE">
        <w:rPr>
          <w:rFonts w:ascii="Arial" w:eastAsia="Malgun Gothic" w:hAnsi="Arial" w:cs="Arial"/>
          <w:b/>
          <w:sz w:val="24"/>
        </w:rPr>
        <w:t>-e</w:t>
      </w:r>
      <w:r w:rsidRPr="00861CDE">
        <w:rPr>
          <w:rFonts w:ascii="Arial" w:eastAsia="Malgun Gothic" w:hAnsi="Arial" w:cs="Arial"/>
          <w:b/>
          <w:sz w:val="24"/>
        </w:rPr>
        <w:tab/>
      </w:r>
      <w:r w:rsidRPr="00861CDE">
        <w:rPr>
          <w:rFonts w:ascii="Arial" w:eastAsia="Malgun Gothic" w:hAnsi="Arial" w:cs="Arial"/>
          <w:b/>
          <w:sz w:val="24"/>
        </w:rPr>
        <w:tab/>
        <w:t>R5-</w:t>
      </w:r>
      <w:r>
        <w:rPr>
          <w:rFonts w:ascii="Arial" w:eastAsia="Malgun Gothic" w:hAnsi="Arial" w:cs="Arial"/>
          <w:b/>
          <w:sz w:val="24"/>
        </w:rPr>
        <w:t>20</w:t>
      </w:r>
      <w:r w:rsidR="00C0073D">
        <w:rPr>
          <w:rFonts w:ascii="Arial" w:eastAsia="Malgun Gothic" w:hAnsi="Arial" w:cs="Arial"/>
          <w:b/>
          <w:sz w:val="24"/>
        </w:rPr>
        <w:t>5623</w:t>
      </w:r>
      <w:r w:rsidRPr="00861CDE">
        <w:rPr>
          <w:rFonts w:ascii="Arial" w:eastAsia="Malgun Gothic" w:hAnsi="Arial" w:cs="Arial"/>
          <w:b/>
          <w:sz w:val="24"/>
        </w:rPr>
        <w:br/>
        <w:t>Electronic</w:t>
      </w:r>
      <w:r w:rsidR="0054297B">
        <w:rPr>
          <w:rFonts w:ascii="Arial" w:eastAsia="Malgun Gothic" w:hAnsi="Arial" w:cs="Arial"/>
          <w:b/>
          <w:sz w:val="24"/>
        </w:rPr>
        <w:t xml:space="preserve"> Meeting</w:t>
      </w:r>
      <w:r w:rsidRPr="00861CDE">
        <w:rPr>
          <w:rFonts w:ascii="Arial" w:eastAsia="Malgun Gothic" w:hAnsi="Arial" w:cs="Arial"/>
          <w:b/>
          <w:sz w:val="24"/>
        </w:rPr>
        <w:t xml:space="preserve">, </w:t>
      </w:r>
      <w:r w:rsidR="008C1B71">
        <w:rPr>
          <w:rFonts w:ascii="Arial" w:eastAsia="Malgun Gothic" w:hAnsi="Arial" w:cs="Arial"/>
          <w:b/>
          <w:sz w:val="24"/>
        </w:rPr>
        <w:t>9</w:t>
      </w:r>
      <w:r w:rsidRPr="00861CDE">
        <w:rPr>
          <w:rFonts w:ascii="Arial" w:eastAsia="Malgun Gothic" w:hAnsi="Arial" w:cs="Arial"/>
          <w:b/>
          <w:sz w:val="24"/>
        </w:rPr>
        <w:t xml:space="preserve"> - </w:t>
      </w:r>
      <w:r w:rsidR="00093490">
        <w:rPr>
          <w:rFonts w:ascii="Arial" w:eastAsia="Malgun Gothic" w:hAnsi="Arial" w:cs="Arial"/>
          <w:b/>
          <w:sz w:val="24"/>
        </w:rPr>
        <w:t>20</w:t>
      </w:r>
      <w:r w:rsidRPr="00861CDE">
        <w:rPr>
          <w:rFonts w:ascii="Arial" w:eastAsia="Malgun Gothic" w:hAnsi="Arial" w:cs="Arial"/>
          <w:b/>
          <w:sz w:val="24"/>
        </w:rPr>
        <w:t xml:space="preserve"> </w:t>
      </w:r>
      <w:r w:rsidR="008C1B71">
        <w:rPr>
          <w:rFonts w:ascii="Arial" w:eastAsia="Malgun Gothic" w:hAnsi="Arial" w:cs="Arial"/>
          <w:b/>
          <w:sz w:val="24"/>
        </w:rPr>
        <w:t>Nov</w:t>
      </w:r>
      <w:r w:rsidRPr="00861CDE">
        <w:rPr>
          <w:rFonts w:ascii="Arial" w:eastAsia="Malgun Gothic" w:hAnsi="Arial" w:cs="Arial"/>
          <w:b/>
          <w:sz w:val="24"/>
        </w:rPr>
        <w:t xml:space="preserve"> 20</w:t>
      </w:r>
      <w:r>
        <w:rPr>
          <w:rFonts w:ascii="Arial" w:eastAsia="Malgun Gothic" w:hAnsi="Arial" w:cs="Arial"/>
          <w:b/>
          <w:sz w:val="24"/>
        </w:rPr>
        <w:t>20</w:t>
      </w:r>
    </w:p>
    <w:bookmarkEnd w:id="0"/>
    <w:p w:rsidR="00861CDE" w:rsidRPr="00861CDE" w:rsidRDefault="00861CDE" w:rsidP="00861CDE">
      <w:pPr>
        <w:spacing w:after="180" w:line="240" w:lineRule="auto"/>
        <w:rPr>
          <w:rFonts w:ascii="Arial" w:eastAsia="Malgun Gothic" w:hAnsi="Arial" w:cs="Arial"/>
          <w:b/>
          <w:sz w:val="24"/>
          <w:szCs w:val="24"/>
        </w:rPr>
      </w:pP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Agenda item: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093490">
        <w:rPr>
          <w:rFonts w:ascii="Arial" w:eastAsia="Malgun Gothic" w:hAnsi="Arial" w:cs="Arial"/>
          <w:sz w:val="24"/>
          <w:szCs w:val="24"/>
          <w:lang w:val="en-GB"/>
        </w:rPr>
        <w:t>5.3.2.17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Source: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Rohde &amp; Schwarz</w:t>
      </w:r>
    </w:p>
    <w:p w:rsidR="00861CDE" w:rsidRPr="00861CDE" w:rsidRDefault="00861CDE" w:rsidP="00861CDE">
      <w:pPr>
        <w:tabs>
          <w:tab w:val="left" w:pos="2250"/>
        </w:tabs>
        <w:spacing w:after="180" w:line="240" w:lineRule="auto"/>
        <w:ind w:left="2160" w:hanging="2160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Title: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B12EFC">
        <w:rPr>
          <w:rFonts w:ascii="Arial" w:eastAsia="Malgun Gothic" w:hAnsi="Arial" w:cs="Arial"/>
          <w:b/>
          <w:sz w:val="24"/>
          <w:szCs w:val="24"/>
          <w:lang w:val="en-GB"/>
        </w:rPr>
        <w:t xml:space="preserve">On the </w:t>
      </w:r>
      <w:r w:rsidR="00D20697">
        <w:rPr>
          <w:rFonts w:ascii="Arial" w:eastAsia="Malgun Gothic" w:hAnsi="Arial" w:cs="Arial"/>
          <w:b/>
          <w:sz w:val="24"/>
          <w:szCs w:val="24"/>
          <w:lang w:val="en-GB"/>
        </w:rPr>
        <w:t>DL AWGN absolute power</w:t>
      </w:r>
      <w:r w:rsidR="008D696E">
        <w:rPr>
          <w:rFonts w:ascii="Arial" w:eastAsia="Malgun Gothic" w:hAnsi="Arial" w:cs="Arial"/>
          <w:b/>
          <w:sz w:val="24"/>
          <w:szCs w:val="24"/>
          <w:lang w:val="en-GB"/>
        </w:rPr>
        <w:t xml:space="preserve"> or wanted DL signal absolute power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Document for: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Endorsement</w:t>
      </w:r>
    </w:p>
    <w:bookmarkEnd w:id="1"/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Introduction</w:t>
      </w:r>
    </w:p>
    <w:p w:rsidR="008D696E" w:rsidRDefault="0046106A" w:rsidP="001B5DBC">
      <w:r>
        <w:t>The value for the</w:t>
      </w:r>
      <w:r w:rsidR="008D696E">
        <w:t xml:space="preserve"> DL AWGN absolute power (or wanted DL signal absolute power) for RRM is still TBD. </w:t>
      </w:r>
    </w:p>
    <w:p w:rsidR="00AE0B49" w:rsidRDefault="008D696E" w:rsidP="001B5DBC">
      <w:r>
        <w:t xml:space="preserve">For Enhanced-IFF, there were a few TBD values that have been proposed in other contributions [1], [2]. </w:t>
      </w:r>
    </w:p>
    <w:p w:rsidR="008D696E" w:rsidRDefault="008D696E" w:rsidP="001B5DBC">
      <w:r>
        <w:t>This contribution calculates the DL AWGN absolute power MU value for enhanced IFF.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Discussion</w:t>
      </w:r>
    </w:p>
    <w:p w:rsidR="0046106A" w:rsidRDefault="008D696E" w:rsidP="0046106A">
      <w:pPr>
        <w:rPr>
          <w:lang w:val="en-GB"/>
        </w:rPr>
      </w:pPr>
      <w:r>
        <w:t xml:space="preserve">The uncertainty assessment for DL AWGN absolute power is done in Table E.3.1.4-2 of TR 38.903 [3]. </w:t>
      </w:r>
    </w:p>
    <w:p w:rsidR="00F23800" w:rsidRDefault="008D696E" w:rsidP="001B5DBC">
      <w:pPr>
        <w:rPr>
          <w:lang w:val="en-GB"/>
        </w:rPr>
      </w:pPr>
      <w:r w:rsidRPr="008D696E">
        <w:rPr>
          <w:lang w:val="en-GB"/>
        </w:rPr>
        <w:t>The DL AWGN absolute power expanded uncertainty is calculated as the root sum square of the standard deviations of the Stage 1 and Stage 2 contributions (expanded by 1.96 to reach the confidence level of 95%) plus the systematic uncertainties.</w:t>
      </w:r>
      <w:r w:rsidR="0003561C">
        <w:rPr>
          <w:lang w:val="en-GB"/>
        </w:rPr>
        <w:t xml:space="preserve"> This gives the following equation (contributors with value of zero have not been </w:t>
      </w:r>
      <w:proofErr w:type="gramStart"/>
      <w:r w:rsidR="0003561C">
        <w:rPr>
          <w:lang w:val="en-GB"/>
        </w:rPr>
        <w:t>taken into account</w:t>
      </w:r>
      <w:proofErr w:type="gramEnd"/>
      <w:r w:rsidR="0003561C">
        <w:rPr>
          <w:lang w:val="en-GB"/>
        </w:rPr>
        <w:t xml:space="preserve"> for readability):</w:t>
      </w:r>
    </w:p>
    <w:p w:rsidR="008D696E" w:rsidRPr="0003561C" w:rsidRDefault="008D696E" w:rsidP="0003561C">
      <w:pPr>
        <w:ind w:left="-709" w:firstLine="283"/>
        <w:rPr>
          <w:rFonts w:eastAsiaTheme="minorEastAsia"/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GB"/>
            </w:rPr>
            <m:t>DL AWGN MU=1.96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GB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QoQZ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Mism.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gNB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Amp.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rand.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XPD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m.ant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repos.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Net.Analiz.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cal.ant.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QoQZ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cal</m:t>
                      </m:r>
                    </m:e>
                  </m:d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feedcable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  <w:lang w:val="en-GB"/>
            </w:rPr>
            <m:t>+Syst. error</m:t>
          </m:r>
        </m:oMath>
      </m:oMathPara>
    </w:p>
    <w:p w:rsidR="0003561C" w:rsidRDefault="0003561C" w:rsidP="0003561C">
      <w:pPr>
        <w:rPr>
          <w:lang w:val="en-GB"/>
        </w:rPr>
      </w:pPr>
      <w:r>
        <w:rPr>
          <w:lang w:val="en-GB"/>
        </w:rPr>
        <w:t>Taking the values from E.3.1.4-2, this gives:</w:t>
      </w:r>
    </w:p>
    <w:p w:rsidR="0003561C" w:rsidRPr="0003561C" w:rsidRDefault="0003561C" w:rsidP="0003561C">
      <w:pPr>
        <w:ind w:left="-709" w:firstLine="283"/>
        <w:rPr>
          <w:rFonts w:eastAsiaTheme="minorEastAsia"/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GB"/>
            </w:rPr>
            <m:t>DL AWGN MU=1.96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GB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0.7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1.3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1.45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1.05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0.25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0.01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0.15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0.05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0.37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0.3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0.4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0.07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lang w:val="en-GB"/>
            </w:rPr>
            <m:t>+0.5=</m:t>
          </m:r>
          <m:r>
            <w:rPr>
              <w:rFonts w:ascii="Cambria Math" w:hAnsi="Cambria Math"/>
              <w:highlight w:val="yellow"/>
              <w:lang w:val="en-GB"/>
            </w:rPr>
            <m:t>5.25</m:t>
          </m:r>
          <m:r>
            <w:rPr>
              <w:rFonts w:ascii="Cambria Math" w:hAnsi="Cambria Math"/>
              <w:lang w:val="en-GB"/>
            </w:rPr>
            <m:t xml:space="preserve"> dB</m:t>
          </m:r>
        </m:oMath>
      </m:oMathPara>
    </w:p>
    <w:p w:rsidR="0003561C" w:rsidRDefault="000C1AB7" w:rsidP="0003561C">
      <w:pPr>
        <w:rPr>
          <w:lang w:val="en-GB"/>
        </w:rPr>
      </w:pPr>
      <w:r>
        <w:rPr>
          <w:lang w:val="en-GB"/>
        </w:rPr>
        <w:t>Note: values in yellow depend on [1] and [2].</w:t>
      </w:r>
    </w:p>
    <w:p w:rsidR="0003561C" w:rsidRPr="0003561C" w:rsidRDefault="000C1AB7" w:rsidP="0003561C">
      <w:pPr>
        <w:rPr>
          <w:lang w:val="en-GB"/>
        </w:rPr>
      </w:pPr>
      <w:r w:rsidRPr="000C1AB7">
        <w:rPr>
          <w:b/>
          <w:lang w:val="en-GB"/>
        </w:rPr>
        <w:t>Proposal 1:</w:t>
      </w:r>
      <w:r>
        <w:rPr>
          <w:lang w:val="en-GB"/>
        </w:rPr>
        <w:t xml:space="preserve"> Use 5.2</w:t>
      </w:r>
      <w:r w:rsidR="00894922">
        <w:rPr>
          <w:lang w:val="en-GB"/>
        </w:rPr>
        <w:t>5</w:t>
      </w:r>
      <w:r>
        <w:rPr>
          <w:lang w:val="en-GB"/>
        </w:rPr>
        <w:t xml:space="preserve"> dB as DL AWGN absolute power MU for enhanced IFF.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Conclusion</w:t>
      </w:r>
    </w:p>
    <w:p w:rsidR="00F23800" w:rsidRPr="0046106A" w:rsidRDefault="00F23800" w:rsidP="00F23800">
      <w:pPr>
        <w:rPr>
          <w:lang w:val="en-GB"/>
        </w:rPr>
      </w:pPr>
      <w:r w:rsidRPr="00F23800">
        <w:rPr>
          <w:b/>
          <w:lang w:val="en-GB"/>
        </w:rPr>
        <w:t>Proposal 1:</w:t>
      </w:r>
      <w:r>
        <w:rPr>
          <w:lang w:val="en-GB"/>
        </w:rPr>
        <w:t xml:space="preserve"> </w:t>
      </w:r>
      <w:r w:rsidR="000C1AB7">
        <w:rPr>
          <w:lang w:val="en-GB"/>
        </w:rPr>
        <w:t>Use 5.2</w:t>
      </w:r>
      <w:r w:rsidR="00894922">
        <w:rPr>
          <w:lang w:val="en-GB"/>
        </w:rPr>
        <w:t>5</w:t>
      </w:r>
      <w:r w:rsidR="000C1AB7">
        <w:rPr>
          <w:lang w:val="en-GB"/>
        </w:rPr>
        <w:t xml:space="preserve"> dB as DL AWGN absolute power MU for enhanced IFF</w:t>
      </w:r>
      <w:r>
        <w:rPr>
          <w:lang w:val="en-GB"/>
        </w:rPr>
        <w:t>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References</w:t>
      </w:r>
    </w:p>
    <w:p w:rsidR="008D696E" w:rsidRDefault="008D696E" w:rsidP="001A530E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R5-20</w:t>
      </w:r>
      <w:r w:rsidR="002F589D">
        <w:t>5622</w:t>
      </w:r>
      <w:r>
        <w:t>, “</w:t>
      </w:r>
      <w:r w:rsidRPr="008D696E">
        <w:t>On the influence of the XPD for Enhanced-IFF</w:t>
      </w:r>
      <w:r>
        <w:t>”, R&amp;S</w:t>
      </w:r>
    </w:p>
    <w:p w:rsidR="008D696E" w:rsidRDefault="008D696E" w:rsidP="001A530E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R5-20</w:t>
      </w:r>
      <w:r w:rsidR="002F589D">
        <w:t>5624</w:t>
      </w:r>
      <w:bookmarkStart w:id="2" w:name="_GoBack"/>
      <w:bookmarkEnd w:id="2"/>
      <w:r>
        <w:t>, “</w:t>
      </w:r>
      <w:r w:rsidRPr="008D696E">
        <w:t xml:space="preserve">On the </w:t>
      </w:r>
      <w:proofErr w:type="spellStart"/>
      <w:r w:rsidRPr="008D696E">
        <w:t>QoQZ</w:t>
      </w:r>
      <w:proofErr w:type="spellEnd"/>
      <w:r w:rsidRPr="008D696E">
        <w:t xml:space="preserve"> for enhanced </w:t>
      </w:r>
      <w:proofErr w:type="gramStart"/>
      <w:r w:rsidRPr="008D696E">
        <w:t>IFF</w:t>
      </w:r>
      <w:r>
        <w:t>“</w:t>
      </w:r>
      <w:proofErr w:type="gramEnd"/>
      <w:r>
        <w:t>, R&amp;S</w:t>
      </w:r>
    </w:p>
    <w:p w:rsidR="0046106A" w:rsidRDefault="0046106A" w:rsidP="00E74DF8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TR 38.903, “NR; Derivation of test tolerances and measurement uncertainty for User Equipment (UE) conformance test cases”</w:t>
      </w:r>
    </w:p>
    <w:sectPr w:rsidR="0046106A" w:rsidSect="0003561C">
      <w:pgSz w:w="11906" w:h="16838"/>
      <w:pgMar w:top="1701" w:right="992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291A" w:rsidRDefault="00E2291A" w:rsidP="007D0431">
      <w:pPr>
        <w:spacing w:after="0" w:line="240" w:lineRule="auto"/>
      </w:pPr>
      <w:r>
        <w:separator/>
      </w:r>
    </w:p>
  </w:endnote>
  <w:endnote w:type="continuationSeparator" w:id="0">
    <w:p w:rsidR="00E2291A" w:rsidRDefault="00E2291A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291A" w:rsidRDefault="00E2291A" w:rsidP="007D0431">
      <w:pPr>
        <w:spacing w:after="0" w:line="240" w:lineRule="auto"/>
      </w:pPr>
      <w:r>
        <w:separator/>
      </w:r>
    </w:p>
  </w:footnote>
  <w:footnote w:type="continuationSeparator" w:id="0">
    <w:p w:rsidR="00E2291A" w:rsidRDefault="00E2291A" w:rsidP="007D0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76D81"/>
    <w:multiLevelType w:val="multilevel"/>
    <w:tmpl w:val="1B04B730"/>
    <w:numStyleLink w:val="RSBullets"/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C1B49A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1CD8441C"/>
    <w:multiLevelType w:val="multilevel"/>
    <w:tmpl w:val="1B04B730"/>
    <w:numStyleLink w:val="RSBullets"/>
  </w:abstractNum>
  <w:abstractNum w:abstractNumId="8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9" w15:restartNumberingAfterBreak="0">
    <w:nsid w:val="2D2806D7"/>
    <w:multiLevelType w:val="multilevel"/>
    <w:tmpl w:val="1B04B730"/>
    <w:numStyleLink w:val="RSBullets"/>
  </w:abstractNum>
  <w:abstractNum w:abstractNumId="10" w15:restartNumberingAfterBreak="0">
    <w:nsid w:val="2FE52E80"/>
    <w:multiLevelType w:val="multilevel"/>
    <w:tmpl w:val="1B04B730"/>
    <w:numStyleLink w:val="RSBullets"/>
  </w:abstractNum>
  <w:abstractNum w:abstractNumId="11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2" w15:restartNumberingAfterBreak="0">
    <w:nsid w:val="364A6D1D"/>
    <w:multiLevelType w:val="multilevel"/>
    <w:tmpl w:val="1B04B730"/>
    <w:numStyleLink w:val="RSBullets"/>
  </w:abstractNum>
  <w:abstractNum w:abstractNumId="13" w15:restartNumberingAfterBreak="0">
    <w:nsid w:val="3A29703A"/>
    <w:multiLevelType w:val="multilevel"/>
    <w:tmpl w:val="760620C0"/>
    <w:numStyleLink w:val="1ai"/>
  </w:abstractNum>
  <w:abstractNum w:abstractNumId="14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5" w15:restartNumberingAfterBreak="0">
    <w:nsid w:val="3E9D5BE6"/>
    <w:multiLevelType w:val="multilevel"/>
    <w:tmpl w:val="1B04B730"/>
    <w:numStyleLink w:val="RSBullets"/>
  </w:abstractNum>
  <w:abstractNum w:abstractNumId="16" w15:restartNumberingAfterBreak="0">
    <w:nsid w:val="406C2E72"/>
    <w:multiLevelType w:val="multilevel"/>
    <w:tmpl w:val="1B04B730"/>
    <w:numStyleLink w:val="RSBullets"/>
  </w:abstractNum>
  <w:abstractNum w:abstractNumId="17" w15:restartNumberingAfterBreak="0">
    <w:nsid w:val="43392F8D"/>
    <w:multiLevelType w:val="multilevel"/>
    <w:tmpl w:val="16ECC3E0"/>
    <w:numStyleLink w:val="111111"/>
  </w:abstractNum>
  <w:abstractNum w:abstractNumId="18" w15:restartNumberingAfterBreak="0">
    <w:nsid w:val="48D714EE"/>
    <w:multiLevelType w:val="multilevel"/>
    <w:tmpl w:val="1B04B730"/>
    <w:numStyleLink w:val="RSBullets"/>
  </w:abstractNum>
  <w:abstractNum w:abstractNumId="19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0" w15:restartNumberingAfterBreak="0">
    <w:nsid w:val="50C96EA4"/>
    <w:multiLevelType w:val="multilevel"/>
    <w:tmpl w:val="7C3C7A62"/>
    <w:styleLink w:val="StruckturingA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1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2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31123"/>
    <w:multiLevelType w:val="multilevel"/>
    <w:tmpl w:val="1B04B730"/>
    <w:numStyleLink w:val="RSBullets"/>
  </w:abstractNum>
  <w:abstractNum w:abstractNumId="24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3A56C02"/>
    <w:multiLevelType w:val="multilevel"/>
    <w:tmpl w:val="760620C0"/>
    <w:numStyleLink w:val="1ai"/>
  </w:abstractNum>
  <w:abstractNum w:abstractNumId="26" w15:restartNumberingAfterBreak="0">
    <w:nsid w:val="65BC23B4"/>
    <w:multiLevelType w:val="multilevel"/>
    <w:tmpl w:val="1B04B730"/>
    <w:numStyleLink w:val="RSBullets"/>
  </w:abstractNum>
  <w:num w:numId="1">
    <w:abstractNumId w:val="8"/>
  </w:num>
  <w:num w:numId="2">
    <w:abstractNumId w:val="19"/>
  </w:num>
  <w:num w:numId="3">
    <w:abstractNumId w:val="14"/>
  </w:num>
  <w:num w:numId="4">
    <w:abstractNumId w:val="11"/>
  </w:num>
  <w:num w:numId="5">
    <w:abstractNumId w:val="6"/>
  </w:num>
  <w:num w:numId="6">
    <w:abstractNumId w:val="4"/>
  </w:num>
  <w:num w:numId="7">
    <w:abstractNumId w:val="12"/>
  </w:num>
  <w:num w:numId="8">
    <w:abstractNumId w:val="21"/>
  </w:num>
  <w:num w:numId="9">
    <w:abstractNumId w:val="22"/>
  </w:num>
  <w:num w:numId="10">
    <w:abstractNumId w:val="3"/>
  </w:num>
  <w:num w:numId="11">
    <w:abstractNumId w:val="7"/>
  </w:num>
  <w:num w:numId="12">
    <w:abstractNumId w:val="9"/>
  </w:num>
  <w:num w:numId="13">
    <w:abstractNumId w:val="15"/>
  </w:num>
  <w:num w:numId="14">
    <w:abstractNumId w:val="18"/>
  </w:num>
  <w:num w:numId="15">
    <w:abstractNumId w:val="16"/>
  </w:num>
  <w:num w:numId="16">
    <w:abstractNumId w:val="24"/>
  </w:num>
  <w:num w:numId="17">
    <w:abstractNumId w:val="23"/>
  </w:num>
  <w:num w:numId="18">
    <w:abstractNumId w:val="26"/>
  </w:num>
  <w:num w:numId="19">
    <w:abstractNumId w:val="10"/>
  </w:num>
  <w:num w:numId="20">
    <w:abstractNumId w:val="13"/>
  </w:num>
  <w:num w:numId="21">
    <w:abstractNumId w:val="5"/>
  </w:num>
  <w:num w:numId="22">
    <w:abstractNumId w:val="5"/>
  </w:num>
  <w:num w:numId="23">
    <w:abstractNumId w:val="5"/>
  </w:num>
  <w:num w:numId="24">
    <w:abstractNumId w:val="0"/>
  </w:num>
  <w:num w:numId="25">
    <w:abstractNumId w:val="17"/>
  </w:num>
  <w:num w:numId="26">
    <w:abstractNumId w:val="20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709"/>
    <w:rsid w:val="0003561C"/>
    <w:rsid w:val="00063F79"/>
    <w:rsid w:val="00085B3E"/>
    <w:rsid w:val="00093490"/>
    <w:rsid w:val="000A023B"/>
    <w:rsid w:val="000A69EA"/>
    <w:rsid w:val="000C1AB7"/>
    <w:rsid w:val="000E35A6"/>
    <w:rsid w:val="0012030E"/>
    <w:rsid w:val="001233D7"/>
    <w:rsid w:val="0012408E"/>
    <w:rsid w:val="00132A51"/>
    <w:rsid w:val="001434ED"/>
    <w:rsid w:val="001459FA"/>
    <w:rsid w:val="00170222"/>
    <w:rsid w:val="001772E2"/>
    <w:rsid w:val="00181DF3"/>
    <w:rsid w:val="00182481"/>
    <w:rsid w:val="0019653E"/>
    <w:rsid w:val="001A2DC0"/>
    <w:rsid w:val="001A2DCE"/>
    <w:rsid w:val="001A530E"/>
    <w:rsid w:val="001B3943"/>
    <w:rsid w:val="001B5DBC"/>
    <w:rsid w:val="001E1A3A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2F589D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2429B"/>
    <w:rsid w:val="0046106A"/>
    <w:rsid w:val="00463D89"/>
    <w:rsid w:val="00465C54"/>
    <w:rsid w:val="004B14CB"/>
    <w:rsid w:val="004E7E35"/>
    <w:rsid w:val="004F1C5B"/>
    <w:rsid w:val="00500BA1"/>
    <w:rsid w:val="00503116"/>
    <w:rsid w:val="00520C26"/>
    <w:rsid w:val="00521709"/>
    <w:rsid w:val="00532390"/>
    <w:rsid w:val="00534070"/>
    <w:rsid w:val="0054297B"/>
    <w:rsid w:val="00554991"/>
    <w:rsid w:val="0059369C"/>
    <w:rsid w:val="00594E12"/>
    <w:rsid w:val="005C77D0"/>
    <w:rsid w:val="005D51A4"/>
    <w:rsid w:val="005E286D"/>
    <w:rsid w:val="00630DB5"/>
    <w:rsid w:val="0064067F"/>
    <w:rsid w:val="00673B0B"/>
    <w:rsid w:val="006B59CE"/>
    <w:rsid w:val="006D5DE8"/>
    <w:rsid w:val="006E77C0"/>
    <w:rsid w:val="007054F4"/>
    <w:rsid w:val="007366B5"/>
    <w:rsid w:val="00757E33"/>
    <w:rsid w:val="00781E78"/>
    <w:rsid w:val="007A552B"/>
    <w:rsid w:val="007B5F72"/>
    <w:rsid w:val="007C5A1B"/>
    <w:rsid w:val="007D0431"/>
    <w:rsid w:val="007E3502"/>
    <w:rsid w:val="007E4F6F"/>
    <w:rsid w:val="007F7350"/>
    <w:rsid w:val="007F7947"/>
    <w:rsid w:val="00806F61"/>
    <w:rsid w:val="00811938"/>
    <w:rsid w:val="00816E81"/>
    <w:rsid w:val="00861CDE"/>
    <w:rsid w:val="008922BC"/>
    <w:rsid w:val="00894922"/>
    <w:rsid w:val="008C1B71"/>
    <w:rsid w:val="008D3C8A"/>
    <w:rsid w:val="008D696E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57D25"/>
    <w:rsid w:val="00962C49"/>
    <w:rsid w:val="0099541E"/>
    <w:rsid w:val="009A7252"/>
    <w:rsid w:val="00A206B5"/>
    <w:rsid w:val="00A31A63"/>
    <w:rsid w:val="00A5355C"/>
    <w:rsid w:val="00A739E6"/>
    <w:rsid w:val="00A87D1C"/>
    <w:rsid w:val="00A91B46"/>
    <w:rsid w:val="00AA7BB6"/>
    <w:rsid w:val="00AB25C6"/>
    <w:rsid w:val="00AC12C8"/>
    <w:rsid w:val="00AD0725"/>
    <w:rsid w:val="00AD11AA"/>
    <w:rsid w:val="00AD3F9B"/>
    <w:rsid w:val="00AE0B49"/>
    <w:rsid w:val="00B12EFC"/>
    <w:rsid w:val="00B1733E"/>
    <w:rsid w:val="00B3318B"/>
    <w:rsid w:val="00B34260"/>
    <w:rsid w:val="00B623F6"/>
    <w:rsid w:val="00B80285"/>
    <w:rsid w:val="00B83512"/>
    <w:rsid w:val="00B94D6B"/>
    <w:rsid w:val="00BA08A1"/>
    <w:rsid w:val="00BB2BD9"/>
    <w:rsid w:val="00BE07D9"/>
    <w:rsid w:val="00BE46B9"/>
    <w:rsid w:val="00BE7460"/>
    <w:rsid w:val="00BF4658"/>
    <w:rsid w:val="00C0073D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746EF"/>
    <w:rsid w:val="00C763E9"/>
    <w:rsid w:val="00C910F3"/>
    <w:rsid w:val="00C976AE"/>
    <w:rsid w:val="00CC6AF4"/>
    <w:rsid w:val="00CF1C34"/>
    <w:rsid w:val="00D054DD"/>
    <w:rsid w:val="00D20697"/>
    <w:rsid w:val="00D2660B"/>
    <w:rsid w:val="00D31632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E02069"/>
    <w:rsid w:val="00E032D7"/>
    <w:rsid w:val="00E060FC"/>
    <w:rsid w:val="00E07844"/>
    <w:rsid w:val="00E16837"/>
    <w:rsid w:val="00E2291A"/>
    <w:rsid w:val="00E32F3C"/>
    <w:rsid w:val="00E42BC3"/>
    <w:rsid w:val="00E74F38"/>
    <w:rsid w:val="00E82662"/>
    <w:rsid w:val="00E918F7"/>
    <w:rsid w:val="00E930FE"/>
    <w:rsid w:val="00EA62F3"/>
    <w:rsid w:val="00EB0D37"/>
    <w:rsid w:val="00EB26C6"/>
    <w:rsid w:val="00EE2244"/>
    <w:rsid w:val="00EE399B"/>
    <w:rsid w:val="00F107B8"/>
    <w:rsid w:val="00F23800"/>
    <w:rsid w:val="00F32E03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32AB51"/>
  <w15:chartTrackingRefBased/>
  <w15:docId w15:val="{83558CC6-1250-433A-978F-F475FE8F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1AB7"/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337439"/>
    <w:pPr>
      <w:spacing w:after="120"/>
    </w:pPr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321CD7"/>
    <w:pPr>
      <w:keepNext/>
      <w:keepLines/>
      <w:numPr>
        <w:numId w:val="26"/>
      </w:numPr>
    </w:pPr>
  </w:style>
  <w:style w:type="character" w:customStyle="1" w:styleId="Hashtag1">
    <w:name w:val="Hashtag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851"/>
      </w:tabs>
    </w:pPr>
  </w:style>
  <w:style w:type="paragraph" w:customStyle="1" w:styleId="Structuring3">
    <w:name w:val="Structuring 3"/>
    <w:basedOn w:val="ListNumber3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1276"/>
        <w:tab w:val="left" w:pos="1701"/>
      </w:tabs>
    </w:p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styleId="GridTable4-Accent1">
    <w:name w:val="Grid Table 4 Accent 1"/>
    <w:basedOn w:val="TableNormal"/>
    <w:uiPriority w:val="49"/>
    <w:rsid w:val="00F23800"/>
    <w:pPr>
      <w:spacing w:after="0" w:line="240" w:lineRule="auto"/>
    </w:pPr>
    <w:tblPr>
      <w:tblStyleRowBandSize w:val="1"/>
      <w:tblStyleColBandSize w:val="1"/>
      <w:tblBorders>
        <w:top w:val="single" w:sz="4" w:space="0" w:color="138EFF" w:themeColor="accent1" w:themeTint="99"/>
        <w:left w:val="single" w:sz="4" w:space="0" w:color="138EFF" w:themeColor="accent1" w:themeTint="99"/>
        <w:bottom w:val="single" w:sz="4" w:space="0" w:color="138EFF" w:themeColor="accent1" w:themeTint="99"/>
        <w:right w:val="single" w:sz="4" w:space="0" w:color="138EFF" w:themeColor="accent1" w:themeTint="99"/>
        <w:insideH w:val="single" w:sz="4" w:space="0" w:color="138EFF" w:themeColor="accent1" w:themeTint="99"/>
        <w:insideV w:val="single" w:sz="4" w:space="0" w:color="138E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3E76" w:themeColor="accent1"/>
          <w:left w:val="single" w:sz="4" w:space="0" w:color="003E76" w:themeColor="accent1"/>
          <w:bottom w:val="single" w:sz="4" w:space="0" w:color="003E76" w:themeColor="accent1"/>
          <w:right w:val="single" w:sz="4" w:space="0" w:color="003E76" w:themeColor="accent1"/>
          <w:insideH w:val="nil"/>
          <w:insideV w:val="nil"/>
        </w:tcBorders>
        <w:shd w:val="clear" w:color="auto" w:fill="003E76" w:themeFill="accent1"/>
      </w:tcPr>
    </w:tblStylePr>
    <w:tblStylePr w:type="lastRow">
      <w:rPr>
        <w:b/>
        <w:bCs/>
      </w:rPr>
      <w:tblPr/>
      <w:tcPr>
        <w:tcBorders>
          <w:top w:val="double" w:sz="4" w:space="0" w:color="003E7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D9FF" w:themeFill="accent1" w:themeFillTint="33"/>
      </w:tcPr>
    </w:tblStylePr>
    <w:tblStylePr w:type="band1Horz">
      <w:tblPr/>
      <w:tcPr>
        <w:shd w:val="clear" w:color="auto" w:fill="B0D9F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F31F73B9-83BB-42BF-98DE-B4FE831E9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Cardalda-Garcia Adrian 1SI1</dc:creator>
  <cp:keywords/>
  <dc:description/>
  <cp:lastModifiedBy>Cardalda-Garcia Adrian 1SI1</cp:lastModifiedBy>
  <cp:revision>7</cp:revision>
  <cp:lastPrinted>2015-11-10T12:30:00Z</cp:lastPrinted>
  <dcterms:created xsi:type="dcterms:W3CDTF">2020-10-16T07:26:00Z</dcterms:created>
  <dcterms:modified xsi:type="dcterms:W3CDTF">2020-10-29T10:14:00Z</dcterms:modified>
</cp:coreProperties>
</file>